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56231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C228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27 января 2025 г. № 114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AC518B" w:rsidRDefault="00AC518B" w:rsidP="00997EE1">
      <w:pPr>
        <w:jc w:val="center"/>
        <w:rPr>
          <w:b/>
        </w:rPr>
      </w:pPr>
      <w:r w:rsidRPr="00701BC7">
        <w:rPr>
          <w:b/>
        </w:rPr>
        <w:t xml:space="preserve">О внесении изменений в Примерное положение об оплате труда работников муниципальных бюджетных и автономных учреждений городского округа "Город Архангельск", находящихся в ведении департамента образования Администрации городского округа </w:t>
      </w:r>
      <w:r w:rsidR="00D94BC8">
        <w:rPr>
          <w:b/>
        </w:rPr>
        <w:br/>
      </w:r>
      <w:r w:rsidRPr="00701BC7">
        <w:rPr>
          <w:b/>
        </w:rPr>
        <w:t>"Город Архангельск"</w:t>
      </w:r>
      <w:r>
        <w:rPr>
          <w:b/>
        </w:rPr>
        <w:t xml:space="preserve"> и приложение № 3 к нему</w:t>
      </w:r>
    </w:p>
    <w:p w:rsidR="00AC518B" w:rsidRDefault="00AC518B" w:rsidP="00997EE1">
      <w:pPr>
        <w:jc w:val="both"/>
      </w:pPr>
    </w:p>
    <w:p w:rsidR="00446071" w:rsidRDefault="00446071" w:rsidP="00997EE1">
      <w:pPr>
        <w:jc w:val="both"/>
      </w:pPr>
    </w:p>
    <w:p w:rsidR="00AC518B" w:rsidRDefault="00AC518B" w:rsidP="00997EE1">
      <w:pPr>
        <w:tabs>
          <w:tab w:val="left" w:pos="1134"/>
        </w:tabs>
        <w:ind w:firstLine="709"/>
        <w:jc w:val="both"/>
      </w:pPr>
      <w:r>
        <w:t xml:space="preserve">1. </w:t>
      </w:r>
      <w:r w:rsidR="00D94BC8">
        <w:tab/>
      </w:r>
      <w:r>
        <w:t xml:space="preserve">Внести в </w:t>
      </w:r>
      <w:r w:rsidRPr="00701BC7">
        <w:t>Примерное положение об оплате труда работников муниципальных бюджетных и автономных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</w:r>
      <w:r>
        <w:t xml:space="preserve">, утвержденное постановлением Администрации муниципального образования "Город Архангельск" от 5 мая 2017 года № 478 (с изменениями), изменение, изложив абзац пятый пункта 6.7 </w:t>
      </w:r>
      <w:r w:rsidR="00446071">
        <w:t xml:space="preserve">раздела </w:t>
      </w:r>
      <w:r w:rsidR="00446071" w:rsidRPr="00446071">
        <w:rPr>
          <w:rFonts w:eastAsiaTheme="minorHAnsi"/>
          <w:szCs w:val="24"/>
          <w:lang w:eastAsia="en-US"/>
        </w:rPr>
        <w:t>VI "Особенности оплаты труда руководителей, их заместителей и главных бухгалтеров"</w:t>
      </w:r>
      <w:r w:rsidR="00446071" w:rsidRPr="00446071">
        <w:rPr>
          <w:rFonts w:ascii="Arial" w:eastAsiaTheme="minorHAnsi" w:hAnsi="Arial" w:cs="Arial"/>
          <w:szCs w:val="24"/>
          <w:lang w:eastAsia="en-US"/>
        </w:rPr>
        <w:t xml:space="preserve"> </w:t>
      </w:r>
      <w:r>
        <w:t>в следующей редакции:</w:t>
      </w:r>
    </w:p>
    <w:p w:rsidR="00AC518B" w:rsidRDefault="00AC518B" w:rsidP="00997E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t>"</w:t>
      </w:r>
      <w:r>
        <w:rPr>
          <w:szCs w:val="28"/>
        </w:rPr>
        <w:t xml:space="preserve">в размере 0,02 </w:t>
      </w:r>
      <w:r w:rsidR="00820742">
        <w:rPr>
          <w:szCs w:val="28"/>
        </w:rPr>
        <w:t>–</w:t>
      </w:r>
      <w:r>
        <w:rPr>
          <w:szCs w:val="28"/>
        </w:rPr>
        <w:t xml:space="preserve"> при наличии почетного звания, нагрудного знака, знака, значка, указанных в пунктах 3 – 5 приложения № 3 к настоящему Примерному положению.".</w:t>
      </w:r>
    </w:p>
    <w:p w:rsidR="00AC518B" w:rsidRPr="00D94BC8" w:rsidRDefault="00AC518B" w:rsidP="00997E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szCs w:val="28"/>
        </w:rPr>
        <w:t xml:space="preserve">2. </w:t>
      </w:r>
      <w:r w:rsidR="00D94BC8">
        <w:rPr>
          <w:szCs w:val="28"/>
        </w:rPr>
        <w:tab/>
      </w:r>
      <w:r>
        <w:rPr>
          <w:szCs w:val="28"/>
        </w:rPr>
        <w:t xml:space="preserve">Внести в приложение № 3 "Перечень Почетных званий, нагрудных знаков, знаков, значков, за наличие которых работникам устанавливается надбавка за почетное звание" к Примерному положению </w:t>
      </w:r>
      <w:r w:rsidRPr="00701BC7">
        <w:t>об оплате труда работников муниципальных бюджетных и автономных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</w:r>
      <w:r>
        <w:t xml:space="preserve">, утвержденному постановлением Администрации муниципального образования "Город </w:t>
      </w:r>
      <w:r w:rsidRPr="00D94BC8">
        <w:rPr>
          <w:spacing w:val="-6"/>
        </w:rPr>
        <w:t>Архангельск" от 5 мая 2017 года № 478 (с изменениями), следующие изменения:</w:t>
      </w:r>
    </w:p>
    <w:p w:rsidR="00AC518B" w:rsidRDefault="00AC518B" w:rsidP="00997EE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а) </w:t>
      </w:r>
      <w:r w:rsidR="00D94BC8">
        <w:tab/>
      </w:r>
      <w:r>
        <w:t>в абзаце первом пункта 2 слова "знаки отличия," исключить;</w:t>
      </w:r>
    </w:p>
    <w:p w:rsidR="00AC518B" w:rsidRDefault="00AC518B" w:rsidP="00997EE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D94BC8">
        <w:tab/>
      </w:r>
      <w:r>
        <w:t>пункт 6 исключить.</w:t>
      </w:r>
    </w:p>
    <w:p w:rsidR="00AC518B" w:rsidRDefault="00AC518B" w:rsidP="00997EE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D94BC8">
        <w:tab/>
      </w:r>
      <w: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AC518B" w:rsidRDefault="00AC518B" w:rsidP="00997EE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3. Настоящее постановление вступает в силу со дня его официального опубликования и распространяется на правоотношения, возникшие с 22 мая 2024 года.</w:t>
      </w:r>
    </w:p>
    <w:p w:rsidR="00FB2EA6" w:rsidRDefault="00FB2EA6" w:rsidP="00D94BC8">
      <w:pPr>
        <w:tabs>
          <w:tab w:val="left" w:pos="709"/>
        </w:tabs>
        <w:spacing w:line="230" w:lineRule="auto"/>
        <w:jc w:val="both"/>
        <w:rPr>
          <w:szCs w:val="28"/>
        </w:rPr>
      </w:pPr>
    </w:p>
    <w:p w:rsidR="00997EE1" w:rsidRDefault="00997EE1" w:rsidP="00D94BC8">
      <w:pPr>
        <w:tabs>
          <w:tab w:val="left" w:pos="709"/>
        </w:tabs>
        <w:spacing w:line="230" w:lineRule="auto"/>
        <w:jc w:val="both"/>
        <w:rPr>
          <w:szCs w:val="28"/>
        </w:rPr>
      </w:pPr>
    </w:p>
    <w:p w:rsidR="00997EE1" w:rsidRPr="00D94BC8" w:rsidRDefault="00997EE1" w:rsidP="00D94BC8">
      <w:pPr>
        <w:tabs>
          <w:tab w:val="left" w:pos="709"/>
        </w:tabs>
        <w:spacing w:line="230" w:lineRule="auto"/>
        <w:jc w:val="both"/>
        <w:rPr>
          <w:szCs w:val="28"/>
        </w:rPr>
      </w:pPr>
    </w:p>
    <w:p w:rsidR="00A03361" w:rsidRDefault="00A03361" w:rsidP="00D94BC8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997EE1" w:rsidRDefault="00997EE1" w:rsidP="00C007AB">
      <w:pPr>
        <w:tabs>
          <w:tab w:val="left" w:pos="7655"/>
        </w:tabs>
        <w:rPr>
          <w:sz w:val="24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Pr="00997EE1" w:rsidRDefault="00997EE1" w:rsidP="00C007AB">
      <w:pPr>
        <w:tabs>
          <w:tab w:val="left" w:pos="7655"/>
        </w:tabs>
        <w:rPr>
          <w:sz w:val="32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997EE1" w:rsidRDefault="00997EE1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D94BC8">
        <w:rPr>
          <w:sz w:val="20"/>
        </w:rPr>
        <w:t>7</w:t>
      </w:r>
      <w:r w:rsidR="0093157D">
        <w:rPr>
          <w:sz w:val="20"/>
        </w:rPr>
        <w:t>.01</w:t>
      </w:r>
    </w:p>
    <w:sectPr w:rsidR="00413A74" w:rsidSect="00997EE1">
      <w:headerReference w:type="default" r:id="rId11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28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4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7"/>
  </w:num>
  <w:num w:numId="8">
    <w:abstractNumId w:val="5"/>
  </w:num>
  <w:num w:numId="9">
    <w:abstractNumId w:val="7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11"/>
  </w:num>
  <w:num w:numId="27">
    <w:abstractNumId w:val="8"/>
  </w:num>
  <w:num w:numId="28">
    <w:abstractNumId w:val="18"/>
  </w:num>
  <w:num w:numId="29">
    <w:abstractNumId w:val="2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4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228D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1BFF-048F-432A-865F-7211F3A5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2025-01-16T07:50:00Z</cp:lastPrinted>
  <dcterms:created xsi:type="dcterms:W3CDTF">2025-01-17T09:51:00Z</dcterms:created>
  <dcterms:modified xsi:type="dcterms:W3CDTF">2025-01-28T06:39:00Z</dcterms:modified>
</cp:coreProperties>
</file>