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BC" w:rsidRPr="00030C1B" w:rsidRDefault="00A235BF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0771BC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</w:t>
      </w:r>
    </w:p>
    <w:p w:rsidR="000771BC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0771BC" w:rsidRPr="00030C1B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A235B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7A">
        <w:rPr>
          <w:rFonts w:ascii="Times New Roman" w:hAnsi="Times New Roman"/>
          <w:bCs/>
          <w:sz w:val="24"/>
          <w:szCs w:val="24"/>
          <w:lang w:eastAsia="ru-RU"/>
        </w:rPr>
        <w:t>23</w:t>
      </w:r>
      <w:r w:rsidR="00A235BF">
        <w:rPr>
          <w:rFonts w:ascii="Times New Roman" w:hAnsi="Times New Roman"/>
          <w:bCs/>
          <w:sz w:val="24"/>
          <w:szCs w:val="24"/>
          <w:lang w:eastAsia="ru-RU"/>
        </w:rPr>
        <w:t xml:space="preserve"> января 2025 г. </w:t>
      </w:r>
      <w:r w:rsidR="00461C7A">
        <w:rPr>
          <w:rFonts w:ascii="Times New Roman" w:hAnsi="Times New Roman"/>
          <w:bCs/>
          <w:sz w:val="24"/>
          <w:szCs w:val="24"/>
          <w:lang w:eastAsia="ru-RU"/>
        </w:rPr>
        <w:t>№ 88</w:t>
      </w:r>
    </w:p>
    <w:p w:rsidR="000771BC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0771BC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0771BC" w:rsidRPr="00030C1B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eastAsia="Times New Roman" w:hAnsi="Times New Roman"/>
          <w:sz w:val="24"/>
          <w:szCs w:val="24"/>
          <w:lang w:eastAsia="ru-RU" w:bidi="ru-RU"/>
        </w:rPr>
        <w:t>"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t>Приложение № 1</w:t>
      </w:r>
    </w:p>
    <w:p w:rsidR="000771BC" w:rsidRPr="00030C1B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"Комплексное развитие территории городского округа 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0771BC" w:rsidRDefault="000771BC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772" w:rsidRPr="00030C1B" w:rsidRDefault="00534772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C1B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34772" w:rsidRPr="00030C1B" w:rsidRDefault="00534772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30C1B">
        <w:rPr>
          <w:rFonts w:ascii="Times New Roman" w:hAnsi="Times New Roman"/>
          <w:b/>
          <w:sz w:val="24"/>
          <w:szCs w:val="24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9"/>
        <w:gridCol w:w="816"/>
        <w:gridCol w:w="815"/>
        <w:gridCol w:w="951"/>
        <w:gridCol w:w="952"/>
        <w:gridCol w:w="951"/>
        <w:gridCol w:w="951"/>
        <w:gridCol w:w="951"/>
        <w:gridCol w:w="1087"/>
        <w:gridCol w:w="952"/>
      </w:tblGrid>
      <w:tr w:rsidR="00534772" w:rsidRPr="00030C1B" w:rsidTr="001B0F9F">
        <w:trPr>
          <w:trHeight w:val="57"/>
        </w:trPr>
        <w:tc>
          <w:tcPr>
            <w:tcW w:w="6109" w:type="dxa"/>
            <w:vMerge w:val="restart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534772" w:rsidRPr="00030C1B" w:rsidTr="001B0F9F">
        <w:trPr>
          <w:trHeight w:val="57"/>
        </w:trPr>
        <w:tc>
          <w:tcPr>
            <w:tcW w:w="6109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534772" w:rsidRPr="00030C1B" w:rsidTr="001B0F9F">
        <w:trPr>
          <w:trHeight w:val="57"/>
        </w:trPr>
        <w:tc>
          <w:tcPr>
            <w:tcW w:w="6109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34772" w:rsidRPr="00030C1B" w:rsidTr="001B0F9F">
        <w:trPr>
          <w:trHeight w:val="20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34772" w:rsidRPr="00030C1B" w:rsidTr="00461C7A">
        <w:trPr>
          <w:trHeight w:val="57"/>
        </w:trPr>
        <w:tc>
          <w:tcPr>
            <w:tcW w:w="14533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534772" w:rsidRPr="00030C1B" w:rsidRDefault="00534772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r w:rsidRPr="00030C1B">
              <w:rPr>
                <w:rFonts w:ascii="Times New Roman" w:hAnsi="Times New Roman"/>
                <w:bCs/>
                <w:sz w:val="20"/>
                <w:szCs w:val="20"/>
              </w:rPr>
              <w:t>Комплексное развитие территории</w:t>
            </w:r>
            <w:r w:rsidRPr="00030C1B">
              <w:rPr>
                <w:rFonts w:ascii="Times New Roman" w:hAnsi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</w:tr>
      <w:tr w:rsidR="00534772" w:rsidRPr="00030C1B" w:rsidTr="00461C7A">
        <w:trPr>
          <w:trHeight w:val="45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>по решению вопросов, связанных с развитием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2. Уровень обеспеченности населения городского округа "Город Архангельск" услугами внутреннего водного и городского автомобильного пассажирского транспорта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3. Доля протяженности автомобильных дорог общего пользования местного значения городского округа "Город Архангельск",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</w:t>
            </w:r>
          </w:p>
          <w:p w:rsidR="00223216" w:rsidRPr="00E432A6" w:rsidRDefault="00223216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12,6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FF646C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FF646C">
              <w:rPr>
                <w:rFonts w:ascii="Times New Roman" w:hAnsi="Times New Roman"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FF646C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FF646C">
              <w:rPr>
                <w:rFonts w:ascii="Times New Roman" w:hAnsi="Times New Roman"/>
                <w:color w:val="FF0000"/>
                <w:sz w:val="20"/>
                <w:szCs w:val="20"/>
              </w:rPr>
              <w:t>23,1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4. Количество многоквартирных домов, расположенных на территории городского округа "Город Архангельск",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5. Доля благоустроенной Администрацией городского округа "Город Архангельск" территории общего пользования городского округа "Город Архангельск" от общей площади, подлежащей благоустройству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285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7. Уровень обеспеченности городского округа "Город Архангельск" градостроительной и землеустроительной документацией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 w:rsidR="00534772" w:rsidRPr="00557663" w:rsidTr="00461C7A">
        <w:trPr>
          <w:trHeight w:val="570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молодых семей, улучшивших жилищные условия (в том числе с использованием кредитных и заемных средств) за счет предоставления социальных выплат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 xml:space="preserve">на приобретение (строительство) жилья, от общего количества молодых семей, признанных в установленном </w:t>
            </w:r>
            <w:proofErr w:type="gramStart"/>
            <w:r w:rsidRPr="00E432A6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E432A6">
              <w:rPr>
                <w:rFonts w:ascii="Times New Roman" w:hAnsi="Times New Roman"/>
                <w:sz w:val="20"/>
                <w:szCs w:val="20"/>
              </w:rPr>
              <w:t xml:space="preserve"> нуждающимися в жилых помещениях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</w:tr>
      <w:tr w:rsidR="00534772" w:rsidRPr="00557663" w:rsidTr="00461C7A">
        <w:trPr>
          <w:trHeight w:val="27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9. Количество построенных, реконструированных, приобретенных объектов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B1385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837374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837374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и (или) выполнено обоснование инвестиций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D2278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213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11.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94"/>
        </w:trPr>
        <w:tc>
          <w:tcPr>
            <w:tcW w:w="14533" w:type="dxa"/>
            <w:gridSpan w:val="10"/>
            <w:shd w:val="clear" w:color="auto" w:fill="FFFFFF" w:themeFill="background1"/>
          </w:tcPr>
          <w:p w:rsidR="00534772" w:rsidRPr="00557663" w:rsidRDefault="00534772" w:rsidP="0046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"Развитие городского хозяйства на территории городского округа "Город Архангельск"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Количество многоквартирных домов, расположенных на территории городского округа "Город Архангельск", в отношении которых проведен капитальный ремонт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2. Количество нарушений сроков уплаты взносов на капитальный ремонт общего имущества в многоквартирных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Раз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3. Количество нарушений сроков уплаты дополнительных взносов на капитальный ремонт общего имущества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Раз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4. Удельный вес общей площади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4,85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4,82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5. Количество незаселенных жилых помещений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многоквартирных домах, находящихся в муниципальной собственности городского округа "Город Архангельск", по которым проведен ремонт и иные работы (услуги) по приведению их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надлежащее состояние,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6. Количество многоквартирных домов,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отношении которых проведена экспертиза о признании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дома аварийным и подлежащим сносу или реконструкции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</w:tr>
      <w:tr w:rsidR="00534772" w:rsidRPr="00557663" w:rsidTr="00461C7A">
        <w:trPr>
          <w:trHeight w:val="267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7. Площадь жилых помещений, изъятых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у собственников для муниципальных нужд городского округа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Квадрат-</w:t>
            </w:r>
            <w:proofErr w:type="spellStart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ных</w:t>
            </w:r>
            <w:proofErr w:type="spellEnd"/>
            <w:proofErr w:type="gramEnd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 xml:space="preserve">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173,2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270,27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523,86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4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Количество посещений общих отделений </w:t>
            </w:r>
            <w:r w:rsidRPr="00DD1A2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муниципальных бань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гражданами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110,38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106,2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4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8423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8.1. Количество посещений общих отделений бань гражданами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86,5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73,3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73,3</w:t>
            </w:r>
          </w:p>
        </w:tc>
      </w:tr>
      <w:tr w:rsidR="00534772" w:rsidRPr="00557663" w:rsidTr="00461C7A">
        <w:trPr>
          <w:trHeight w:val="24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9. Количество устраненных аварийных ситуаций на объектах коммунального хозяйства (энергетики)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534772" w:rsidRPr="00557663" w:rsidTr="00461C7A">
        <w:trPr>
          <w:trHeight w:val="285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10. Процент горения светильников уличного освещения на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69,0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69,0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</w:tr>
      <w:tr w:rsidR="00534772" w:rsidRPr="00557663" w:rsidTr="00461C7A">
        <w:trPr>
          <w:trHeight w:val="28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11. Площадь благоустроенных общественных территорий, в отношении которых осуществлялось содержание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</w:pPr>
            <w:proofErr w:type="gramStart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Квадрат-</w:t>
            </w:r>
            <w:proofErr w:type="spellStart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ных</w:t>
            </w:r>
            <w:proofErr w:type="spellEnd"/>
            <w:proofErr w:type="gramEnd"/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 xml:space="preserve">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168 706,5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147 734,2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568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12. Площадь внутриквартальных проездов городского округа "Город Архангельск", содержание которых осуществлялось в соответствующем году</w:t>
            </w:r>
          </w:p>
          <w:p w:rsidR="00223216" w:rsidRPr="00557663" w:rsidRDefault="00223216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Тыс. кв. 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13. Доля протяженности автомобильных дорог общего пользования местного значения городского округа "Город Архангельск", не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87,4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76,9</w:t>
            </w:r>
          </w:p>
        </w:tc>
      </w:tr>
      <w:tr w:rsidR="00534772" w:rsidRPr="00557663" w:rsidTr="00461C7A">
        <w:trPr>
          <w:trHeight w:val="281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14. Количество мостов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и путепроводов городского округа "Город Архангельск",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отношении которых осуществляется ремонт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15. Количество мостов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и путепроводов городского округа "Город Архангельск",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31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16. Количество объектов дренажно-ливневой канализации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17. Количество дренажных насосных станций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18. Количество объектов дренажно-ливневой канализации городского округа "Город Архангельск", в отношении которых осуществляется ремонт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19. Количество светофорных объектов, дорожных знаков и указателей городского округа "Город Архангельск", в отношении которых осуществляется содержание и ремонт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8 874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8 874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10 543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10 740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10 963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11 326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11 326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11 326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20. Количество внутригородских пассажирских линий, обслуживаемых внутренним водным транспортом в период ледохода и образования ледостава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4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21. Количество причалов, расположенных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территории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22. Количество рейсов,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</w:t>
            </w:r>
            <w:proofErr w:type="spell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Кего</w:t>
            </w:r>
            <w:proofErr w:type="spellEnd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и </w:t>
            </w:r>
            <w:proofErr w:type="spell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Бревенник</w:t>
            </w:r>
            <w:proofErr w:type="spellEnd"/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3400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23. Количество автобусных маршрутов регулярных перевозок по регулируемым тарифам, по которым заключены муниципальные контракты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30</w:t>
            </w:r>
          </w:p>
        </w:tc>
      </w:tr>
      <w:tr w:rsidR="00534772" w:rsidRPr="00557663" w:rsidTr="00461C7A">
        <w:trPr>
          <w:trHeight w:val="433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24. Своевременность рассмотрения заявлений граждан о предоставлении информации, основанной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на данных регистрационного учета граждан по месту пребывания и по месту жительства в пределах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25. Своевременность рассмотрения заявлений граждан о заключении договора социального найма жилого помещения от общего количества заявлений, поступивших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157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26. Количество участников общегородских конкурсов "Лучший Архангельский дворик" и "Лучший новогодний дворик Архангельска"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27. Количество безнадзорных домашних животных, принятых в муниципальную собственность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219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28. Количество исполненных судебных актов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 предоставлении жилых помещений гражданам путем осуществления выплат денежных сре</w:t>
            </w:r>
            <w:proofErr w:type="gram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дств в с</w:t>
            </w:r>
            <w:proofErr w:type="gramEnd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29. Количество нанимателей жилых помещений муниципального жилищного фонда, для которых плата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содержание и ремонт жилого помещения установлена в меньшем размере, чем для собственников помещений в многоквартирном доме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30. Количество посещений общих отделений </w:t>
            </w:r>
            <w:r w:rsidRPr="00543B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муниципальных бань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отдельными категориями граждан, имеющих право на меры социальной поддержки по оплате банных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37,67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35,52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27,30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27,86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30.1. Количество посещений общих отделений бань отдельными категориями граждан, имеющих право на меры социальной поддержки по оплате банных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31. Количество граждан, планируемое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 перевозке водным и автомобильным транспортом общего пользования на территории городского округа "Город Архангельск" во </w:t>
            </w:r>
            <w:proofErr w:type="spellStart"/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внутримуниципальном</w:t>
            </w:r>
            <w:proofErr w:type="spellEnd"/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(городском) сообщении, которым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соответствии со статьями 2 и 4 Федерального закона </w:t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от 12.01.1995 № 5-ФЗ "О ветеранах" и муниципальными правовыми актами предоставлено право бесплатного проезда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18 695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18 280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18 280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20 549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20 549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31.1. Количество граждан, планируемое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 перевозке водным и автомобильным транспортом общего пользования на территории городского округа "Город Архангельск" во </w:t>
            </w:r>
            <w:proofErr w:type="spellStart"/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внутримуниципальном</w:t>
            </w:r>
            <w:proofErr w:type="spellEnd"/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(городском) сообщении, которым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соответствии с муниципальными правовыми актами предоставлено </w:t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право бесплатного проезда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lastRenderedPageBreak/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23 100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32. Удельный вес своевременно исполненных судебных актов и мировых соглашений по возмещению вреда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и постановлений судебных приставов-исполнителей о взыскании исполнительного сбора или наложении штрафа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33. Количество семей, имеющих право и состоящих на учете на получение жилищных субсидий в связи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с переселением из районов Крайнего Севера и приравненных к ним местностям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Семей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34. Значение итоговой </w:t>
            </w:r>
            <w:proofErr w:type="gram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оценки качества финансового менеджмента департамента городского хозяйства</w:t>
            </w:r>
            <w:proofErr w:type="gramEnd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78,95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35. Значение итоговой оценки качества финансового менеджмента департамента транспорта, строительства и городской инфраструктуры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72,32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36. Доля муниципальных служащих департамента городского хозяйства, прошедших повышение квалификации и переподготовку, а также участвовавших 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городского хозяйства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37. Доля муниципальных служащих департамента транспорта, строительства и городской инфраструктуры, прошедших повышение квалификации и переподготовку, а также участвовавших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транспорта, строительства и городской инфраструктуры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38. Количество ледовых переправ, подлежащих устройству и содержанию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2232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39. Количество пассажиров, перевезенных водным транспортом общего пользования по муниципальным маршрутам на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Че</w:t>
            </w: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441 296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441 296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395 500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408 200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420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76"/>
        </w:trPr>
        <w:tc>
          <w:tcPr>
            <w:tcW w:w="6109" w:type="dxa"/>
            <w:shd w:val="clear" w:color="auto" w:fill="FFFFFF" w:themeFill="background1"/>
            <w:vAlign w:val="center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40. Количество многоквартирных домов,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отношении</w:t>
            </w:r>
            <w:proofErr w:type="gramEnd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которых проведено дополнительное обследование основных конструкций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8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41. Количество лифтов с истекшим назначенным сроком службы, которые были заменены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84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42. Количество аварийных многоквартирных домов, планируемых к сносу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43.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"Город Архангельск" к общему количеству указанных обращений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44. Количество проведенных технических обследований систем дренажно-ливневой канализации в целях осуществления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46. Доля реализованных инициативных проектов граждан от общего количества запланированных инициативных проектов граждан, реализованных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184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48. Количество схем и программ, в отношении которых проведена актуализация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22"/>
        </w:trPr>
        <w:tc>
          <w:tcPr>
            <w:tcW w:w="6109" w:type="dxa"/>
            <w:shd w:val="clear" w:color="auto" w:fill="FFFFFF" w:themeFill="background1"/>
            <w:vAlign w:val="center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49. Количество многоквартирных домов,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которых осуществл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ялись мероприятия по капитальному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у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фасадов в соответствующем году</w:t>
            </w:r>
            <w:proofErr w:type="gramEnd"/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50. Количество приобретаемого оборудования для реализации мероприятий в области коммунального хозяйства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51. Площадь зеленых насаждений, в отношении которых проводились мероприятия, направленные на их воспроизводство,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proofErr w:type="gramStart"/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Квадрат-</w:t>
            </w:r>
            <w:proofErr w:type="spellStart"/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ных</w:t>
            </w:r>
            <w:proofErr w:type="spellEnd"/>
            <w:proofErr w:type="gramEnd"/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 xml:space="preserve">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10 142,0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52. Количество общественных туалетов, отремонтированных в соответствующем году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72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53. Количество мест (площадок) накопления твердых коммунальных отходов, обустроенных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C9317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54. Завершение процедуры ликвидации муниципального унитарного предприятия "Архангельское  предприятие пассажирских перевозок городского округа "Город Архангельск"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Да</w:t>
            </w:r>
            <w:proofErr w:type="gramStart"/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/Н</w:t>
            </w:r>
            <w:proofErr w:type="gramEnd"/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ет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Да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55. Количество установленных индивидуальных приборов учета ресурсов в жилых помещениях, находящихся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муниципальной собственности городского округа "Город Архангельск",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56. Количество жилых и нежилых помещений, находящихся в муниципальной собственности городского округа "Город Архангельск", расположенных в многоквартирных домах, отремонтированных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57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Количество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благоустроенных общественных территорий, в отношении которых осуществлял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ся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ремонт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58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Площадь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ликвидированных мест несанкционированного размещения отходов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0,563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0,297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0,579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0,579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Количество объектов, подключенных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 централизованной системе водоотведения поверхностных сточных вод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60. Площадь земельных участков, по которым  выполнены работы по лесоустройству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E7D6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7 201,1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199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Подпрограмма 2. "Капитальный ремонт  объектов городского округа "Город Архангельск"</w:t>
            </w:r>
          </w:p>
        </w:tc>
      </w:tr>
      <w:tr w:rsidR="00534772" w:rsidRPr="00557663" w:rsidTr="00461C7A">
        <w:trPr>
          <w:trHeight w:val="28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1.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Объем выполненных работ по капитальному ремонту объектов благоустройства от объема работ, запланированного к выполнению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22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2.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Количество объектов благоустройства,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557663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557663">
              <w:rPr>
                <w:rFonts w:ascii="Times New Roman" w:hAnsi="Times New Roman"/>
                <w:sz w:val="20"/>
                <w:szCs w:val="20"/>
              </w:rPr>
              <w:t xml:space="preserve"> осуществлялся капитальный ремонт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3. Протяженность автомобильных дорог общего пользования местного значения городского округа "Город Архангельск", на которых проведен капитальный ремонт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Км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0,17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0,06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4.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Количество объектов социальной сферы, находящихся в муниципальной казне городского округа "Город Архангельск", на которых выполнялись работы по капитальному ремонту в соответствующем году</w:t>
            </w:r>
          </w:p>
          <w:p w:rsidR="00223216" w:rsidRPr="00557663" w:rsidRDefault="00223216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690C3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</w:pPr>
            <w:r w:rsidRPr="00690C34"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690C3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</w:pPr>
            <w:r w:rsidRPr="00690C34"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Целевой индикатор 5. Доля объектов коммунального хозяйства городского округа "Город Архангельск", на которых проведен капитальный ремонт в соответствующем году, в общем количестве объектов коммунального хозяйства городского округа "Город Архангельск", включенных в план капитального ремонта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на соответствующий год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298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6. Количество объектов монументального искусства, на которых проведен капитальный ремонт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7. Количество объектов социальной сферы, находящихся в муниципальной казне городского округа "Город Архангельск", благоустройство  территории которых осуществлялось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33E4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Протяженность автомобильных дорог общего пользования местного значения городского округа "Город Архангельск" и искусственных сооружений на них, на которых выполнялись проектные и строительно-монтажные работы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33E4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 капитальному ремонту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Км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2,23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4F7056">
              <w:rPr>
                <w:rFonts w:ascii="Times New Roman" w:hAnsi="Times New Roman"/>
                <w:color w:val="FF0000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142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Подпрограмма 3. "Благоустройство в территориальных округах городского округа "Город Архангельск"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Площадь обслуживаемых территорий общего пользования городского округа "Город Архангельск", находящихся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границах административной ответственности администраций территориальных округов </w:t>
            </w:r>
          </w:p>
        </w:tc>
        <w:tc>
          <w:tcPr>
            <w:tcW w:w="816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квадратных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2 240,4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2 240,4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2 136,7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2 082,8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1 967,1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2. Объем вывезенных и утилизированных отходов производства и потребления на объект размещения отходов, собранных с территории общего пользования городского округа "Город Архангельск", находящейся в границах административной ответственности администраций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Тонн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5 283,17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3 238,1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5 296,4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5 247,9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4 596,8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</w:tr>
      <w:tr w:rsidR="00534772" w:rsidRPr="00557663" w:rsidTr="00461C7A">
        <w:trPr>
          <w:trHeight w:val="27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3. Численность населения, принявшего участие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работах по благоустройству территории общего пользования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34 688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66 064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47 658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44 477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44 001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4. Количество отремонтированных объектов имущества казны городского округа "Город Архангельск", переданного для управления администрациям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888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</w:tr>
      <w:tr w:rsidR="00534772" w:rsidRPr="00557663" w:rsidTr="00461C7A">
        <w:trPr>
          <w:trHeight w:val="171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5. Количество устроенных и обслуживаемых пешеходных ледовых переправ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6. Площадь обслуживаемых зеленых насаждений на территории общего пользования городского округа "Город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Архангельск", находящейся в границах административной ответственности администраций территориальных округов &lt;*&gt;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Тысяч </w:t>
            </w:r>
            <w:r w:rsidRPr="00557663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 w:bidi="ru-RU"/>
              </w:rPr>
              <w:t>квадрат</w:t>
            </w:r>
            <w:r w:rsidRPr="00557663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 w:bidi="ru-RU"/>
              </w:rPr>
              <w:lastRenderedPageBreak/>
              <w:t>ных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1 172,7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1 097,9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1 482,6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1 352,7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1 507,5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7. Среднее значение итоговой </w:t>
            </w:r>
            <w:proofErr w:type="gramStart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оценки качества финансового менеджмента администраций территориальных округов</w:t>
            </w:r>
            <w:proofErr w:type="gramEnd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80,76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83,75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83,75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61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</w:t>
            </w: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Доля муниципальных служащих администраций территориальных округов,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администраций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9. </w:t>
            </w: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 xml:space="preserve">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уплаченных административных штрафов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283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10. Доля реализованных инициативных проектов граждан от общего количества запланированных инициативных проектов граждан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86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461C7A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34772" w:rsidRPr="00557663">
                <w:rPr>
                  <w:rFonts w:ascii="Times New Roman" w:hAnsi="Times New Roman"/>
                  <w:sz w:val="20"/>
                  <w:szCs w:val="20"/>
                </w:rPr>
                <w:t xml:space="preserve">Подпрограмма </w:t>
              </w:r>
            </w:hyperlink>
            <w:r w:rsidR="00534772" w:rsidRPr="00557663">
              <w:rPr>
                <w:rFonts w:ascii="Times New Roman" w:hAnsi="Times New Roman"/>
                <w:sz w:val="20"/>
                <w:szCs w:val="20"/>
              </w:rPr>
              <w:t>4. "Подготовка градостроительной и землеустроительной документации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1. Уровень обеспеченности городского округа "Город Архангельск" документами территориального планирования, градостроительного зонирования и документацией по планировке территории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2. Уровень обеспеченности городского округа "Город Архангельск" землеустроительной документацией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</w:tr>
      <w:tr w:rsidR="00534772" w:rsidRPr="00557663" w:rsidTr="00461C7A">
        <w:trPr>
          <w:trHeight w:val="59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Подпрограмма 5.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"Обеспечение жильем молодых семей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Доля молодых семей, ставших участниками подпрограммы, от числа молодых семей, подавших заявление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участие в подпрограмме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84,76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67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22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Целевой индикатор 2. Доля молодых семей, получивших Свидетельство о праве на получение социальной выплаты </w:t>
            </w:r>
          </w:p>
          <w:p w:rsidR="00534772" w:rsidRPr="00557663" w:rsidRDefault="00534772" w:rsidP="0022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приобретение жилого помещения или строительство индивидуального жилого дома, от общего количества семей – участников подпрограммы</w:t>
            </w:r>
            <w:r w:rsidR="00223216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2,97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3,85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3,30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62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4,71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3. Количество молодых семей, улучшивших жилищные условия с использованием социальной выплаты, 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  <w:t xml:space="preserve">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</w:tr>
      <w:tr w:rsidR="00534772" w:rsidRPr="00557663" w:rsidTr="00461C7A">
        <w:trPr>
          <w:trHeight w:val="59"/>
        </w:trPr>
        <w:tc>
          <w:tcPr>
            <w:tcW w:w="14533" w:type="dxa"/>
            <w:gridSpan w:val="10"/>
            <w:shd w:val="clear" w:color="auto" w:fill="FFFFFF" w:themeFill="background1"/>
          </w:tcPr>
          <w:p w:rsidR="00534772" w:rsidRPr="00557663" w:rsidRDefault="00534772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Подпрограмма 6. "Капитальные вложения в объекты муниципальной собственности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1.</w:t>
            </w:r>
            <w:r w:rsidRPr="00A14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557663">
              <w:rPr>
                <w:rFonts w:ascii="Times New Roman" w:hAnsi="Times New Roman"/>
                <w:sz w:val="20"/>
                <w:szCs w:val="20"/>
              </w:rPr>
              <w:t>построенных</w:t>
            </w:r>
            <w:proofErr w:type="gramEnd"/>
            <w:r w:rsidRPr="00557663">
              <w:rPr>
                <w:rFonts w:ascii="Times New Roman" w:hAnsi="Times New Roman"/>
                <w:sz w:val="20"/>
                <w:szCs w:val="20"/>
              </w:rPr>
              <w:t xml:space="preserve"> и введенных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мест захоронения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B784A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0,9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2. Протяженность </w:t>
            </w:r>
            <w:proofErr w:type="gramStart"/>
            <w:r w:rsidRPr="00557663">
              <w:rPr>
                <w:rFonts w:ascii="Times New Roman" w:hAnsi="Times New Roman"/>
                <w:sz w:val="20"/>
                <w:szCs w:val="20"/>
              </w:rPr>
              <w:t>построенных</w:t>
            </w:r>
            <w:proofErr w:type="gramEnd"/>
            <w:r w:rsidRPr="00557663">
              <w:rPr>
                <w:rFonts w:ascii="Times New Roman" w:hAnsi="Times New Roman"/>
                <w:sz w:val="20"/>
                <w:szCs w:val="20"/>
              </w:rPr>
              <w:t xml:space="preserve"> и введенных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воздушных линий электропередачи наружного освещения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1 162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1 581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4 038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959,36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B784A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3 520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3. Количество водоочистных сооружений, строительство которых осуществлялось 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22321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4. Количество  водопроводных сетей, строительство и реконструкция которых осуществлялась </w:t>
            </w:r>
          </w:p>
          <w:p w:rsidR="00534772" w:rsidRPr="00557663" w:rsidRDefault="00534772" w:rsidP="0022321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5. Количество объектов муниципальной собственности городского округа "Город Архангельск", строительство и </w:t>
            </w:r>
            <w:proofErr w:type="gramStart"/>
            <w:r w:rsidRPr="00557663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proofErr w:type="gramEnd"/>
            <w:r w:rsidRPr="00557663">
              <w:rPr>
                <w:rFonts w:ascii="Times New Roman" w:hAnsi="Times New Roman"/>
                <w:sz w:val="20"/>
                <w:szCs w:val="20"/>
              </w:rPr>
              <w:t xml:space="preserve"> которых осуществлялись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610B4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192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6. Протяженность </w:t>
            </w:r>
            <w:proofErr w:type="gramStart"/>
            <w:r w:rsidRPr="00557663">
              <w:rPr>
                <w:rFonts w:ascii="Times New Roman" w:hAnsi="Times New Roman"/>
                <w:sz w:val="20"/>
                <w:szCs w:val="20"/>
              </w:rPr>
              <w:t>построенной</w:t>
            </w:r>
            <w:proofErr w:type="gramEnd"/>
            <w:r w:rsidRPr="00557663">
              <w:rPr>
                <w:rFonts w:ascii="Times New Roman" w:hAnsi="Times New Roman"/>
                <w:sz w:val="20"/>
                <w:szCs w:val="20"/>
              </w:rPr>
              <w:t xml:space="preserve"> и введенной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дренажно-ливневой канализации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63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557663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7. Количество объектов дорожной инфраструктуры, строительство которых осуществлялось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61434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8. Доля подготовленных обоснований инвестиций в строительство объектов муниципальной собственности городского округа "Город Архангельск"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9. Количество приобретенных жилых помещений на территории городского округа "Город Архангельск"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 для использования в качестве маневренного фонда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10. Количество спортивных площадок </w:t>
            </w:r>
          </w:p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 территории образовательных учреждений городского округа "Город Архангельск", на которых построены и введены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эксплуатацию линии освещения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11. Площадь жилых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и нежилых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помещений, изъятых у собственников для муниципальных нужд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Квадратных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8 398,35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250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нотариальных депозитных счетов, открытых для внесения денежных средств за жилые помещения, изымаемые у собственников для муниципальных нужд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городского округа "Город Архангельск",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34772" w:rsidRPr="00030C1B" w:rsidRDefault="00534772" w:rsidP="005347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7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264"/>
      </w:tblGrid>
      <w:tr w:rsidR="00534772" w:rsidRPr="00030C1B" w:rsidTr="00461C7A">
        <w:trPr>
          <w:trHeight w:val="1166"/>
        </w:trPr>
        <w:tc>
          <w:tcPr>
            <w:tcW w:w="1354" w:type="dxa"/>
          </w:tcPr>
          <w:p w:rsidR="00534772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  <w:p w:rsidR="00534772" w:rsidRPr="00030C1B" w:rsidRDefault="00534772" w:rsidP="00461C7A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30C1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Примечание</w:t>
            </w:r>
            <w:proofErr w:type="spellEnd"/>
            <w:r w:rsidRPr="00030C1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13264" w:type="dxa"/>
          </w:tcPr>
          <w:p w:rsidR="00534772" w:rsidRDefault="00534772" w:rsidP="00461C7A">
            <w:pPr>
              <w:ind w:right="-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4772" w:rsidRPr="00030C1B" w:rsidRDefault="00534772" w:rsidP="00461C7A">
            <w:pPr>
              <w:ind w:right="-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Целевые индикаторы № 13, 14, 15, 35 подпрограммы 1.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"Развитие городского хозяйства на территории городского округа "Город Архангельск" </w:t>
            </w: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являются ключевыми показателями эффективности деятельности департамента транспорта, строительства и городской инфраструктуры; </w:t>
            </w:r>
          </w:p>
          <w:p w:rsidR="00534772" w:rsidRPr="00030C1B" w:rsidRDefault="00534772" w:rsidP="00461C7A">
            <w:pPr>
              <w:ind w:right="-31" w:firstLine="3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Целевые индикаторы № 4, 6, 10, 16, 17, 18, 34 подпрограммы 1.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"Развитие городского хозяйства на территории городского округа "Город Архангельск" </w:t>
            </w: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являются ключевыми показателями эффективности деятельности департамента городского хозяйства;</w:t>
            </w:r>
          </w:p>
        </w:tc>
      </w:tr>
      <w:tr w:rsidR="00534772" w:rsidRPr="00030C1B" w:rsidTr="00461C7A">
        <w:trPr>
          <w:trHeight w:val="45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ind w:left="34" w:hanging="34"/>
              <w:jc w:val="both"/>
              <w:outlineLvl w:val="0"/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  <w:t>Целевой индикатор № 4 подпрограммы 2. "Капитальный ремонт объектов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инфраструктуры;</w:t>
            </w:r>
          </w:p>
        </w:tc>
      </w:tr>
      <w:tr w:rsidR="00534772" w:rsidRPr="00030C1B" w:rsidTr="00461C7A">
        <w:trPr>
          <w:trHeight w:val="42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adjustRightInd w:val="0"/>
              <w:spacing w:line="216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  <w:t xml:space="preserve">Целевые индикаторы № 1, 2, 3, 4, 5, 6 подпрограммы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3. "Благоустройство в территориальных округах городского округа "Город Архангельск"</w:t>
            </w:r>
            <w:r w:rsidRPr="00030C1B"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  <w:t xml:space="preserve"> являются ключевыми показателями эффективности деятельности администраций территориальных округов.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Целевой индикатор  № 1 подпрограммы 4. "Подготовка градостроительной и землеустроительной документации городского округа "Город Архангельск" является ключевым показателем эффективности деятельности департамента градостроительства; 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ind w:left="34" w:hanging="34"/>
              <w:jc w:val="both"/>
              <w:outlineLvl w:val="0"/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Целевой индикатор № 2 подпрограммы 5.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"Обеспечение жильем молодых семей городского округа "Город Архангельск" является </w:t>
            </w:r>
            <w:r w:rsidRPr="00030C1B"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  <w:t>ключевым показателем эффективности деятельности департамента городского хозяйства;</w:t>
            </w:r>
          </w:p>
        </w:tc>
      </w:tr>
      <w:tr w:rsidR="00534772" w:rsidRPr="00030C1B" w:rsidTr="00461C7A">
        <w:trPr>
          <w:trHeight w:val="45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Целевой индикатор№ 2 подпрограммы 6. "Капитальные вложения в объекты муниципальной собственности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 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hAnsi="Times New Roman"/>
                <w:sz w:val="20"/>
                <w:szCs w:val="24"/>
                <w:lang w:val="ru-RU" w:eastAsia="ru-RU"/>
              </w:rPr>
              <w:t>&lt;*&gt; Площадь обслуживаемых зеленых насаждений на территории общего пользования городского округа "Город Архангельск", находящихся в границах административной ответственности администраций территориальных округов включает в себя: цветники, газоны, парки, скверы и т.п.</w:t>
            </w:r>
          </w:p>
        </w:tc>
      </w:tr>
    </w:tbl>
    <w:p w:rsidR="00C924F4" w:rsidRDefault="00C924F4"/>
    <w:p w:rsidR="00223216" w:rsidRDefault="00223216" w:rsidP="00223216">
      <w:pPr>
        <w:jc w:val="center"/>
      </w:pPr>
      <w:r>
        <w:t>____________</w:t>
      </w:r>
    </w:p>
    <w:sectPr w:rsidR="00223216" w:rsidSect="00A235BF">
      <w:headerReference w:type="default" r:id="rId9"/>
      <w:pgSz w:w="16838" w:h="11906" w:orient="landscape"/>
      <w:pgMar w:top="1701" w:right="1134" w:bottom="850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7A" w:rsidRDefault="00461C7A" w:rsidP="00A235BF">
      <w:pPr>
        <w:spacing w:after="0" w:line="240" w:lineRule="auto"/>
      </w:pPr>
      <w:r>
        <w:separator/>
      </w:r>
    </w:p>
  </w:endnote>
  <w:endnote w:type="continuationSeparator" w:id="0">
    <w:p w:rsidR="00461C7A" w:rsidRDefault="00461C7A" w:rsidP="00A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7A" w:rsidRDefault="00461C7A" w:rsidP="00A235BF">
      <w:pPr>
        <w:spacing w:after="0" w:line="240" w:lineRule="auto"/>
      </w:pPr>
      <w:r>
        <w:separator/>
      </w:r>
    </w:p>
  </w:footnote>
  <w:footnote w:type="continuationSeparator" w:id="0">
    <w:p w:rsidR="00461C7A" w:rsidRDefault="00461C7A" w:rsidP="00A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3469"/>
      <w:docPartObj>
        <w:docPartGallery w:val="Page Numbers (Top of Page)"/>
        <w:docPartUnique/>
      </w:docPartObj>
    </w:sdtPr>
    <w:sdtContent>
      <w:p w:rsidR="00461C7A" w:rsidRDefault="00461C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44">
          <w:rPr>
            <w:noProof/>
          </w:rPr>
          <w:t>12</w:t>
        </w:r>
        <w:r>
          <w:fldChar w:fldCharType="end"/>
        </w:r>
      </w:p>
      <w:tbl>
        <w:tblPr>
          <w:tblpPr w:leftFromText="180" w:rightFromText="180" w:vertAnchor="text" w:horzAnchor="margin" w:tblpXSpec="center" w:tblpY="142"/>
          <w:tblW w:w="14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>
        <w:tblGrid>
          <w:gridCol w:w="6109"/>
          <w:gridCol w:w="816"/>
          <w:gridCol w:w="815"/>
          <w:gridCol w:w="951"/>
          <w:gridCol w:w="952"/>
          <w:gridCol w:w="951"/>
          <w:gridCol w:w="951"/>
          <w:gridCol w:w="951"/>
          <w:gridCol w:w="1087"/>
          <w:gridCol w:w="952"/>
        </w:tblGrid>
        <w:tr w:rsidR="00461C7A" w:rsidRPr="00030C1B" w:rsidTr="00461C7A">
          <w:trPr>
            <w:trHeight w:val="209"/>
          </w:trPr>
          <w:tc>
            <w:tcPr>
              <w:tcW w:w="6109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1</w:t>
              </w:r>
            </w:p>
          </w:tc>
          <w:tc>
            <w:tcPr>
              <w:tcW w:w="816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2</w:t>
              </w:r>
            </w:p>
          </w:tc>
          <w:tc>
            <w:tcPr>
              <w:tcW w:w="815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3</w:t>
              </w:r>
            </w:p>
          </w:tc>
          <w:tc>
            <w:tcPr>
              <w:tcW w:w="951" w:type="dxa"/>
              <w:tcBorders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4</w:t>
              </w:r>
            </w:p>
          </w:tc>
          <w:tc>
            <w:tcPr>
              <w:tcW w:w="9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5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6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7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8</w:t>
              </w:r>
            </w:p>
          </w:tc>
          <w:tc>
            <w:tcPr>
              <w:tcW w:w="108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9</w:t>
              </w:r>
            </w:p>
          </w:tc>
          <w:tc>
            <w:tcPr>
              <w:tcW w:w="9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10</w:t>
              </w:r>
            </w:p>
          </w:tc>
        </w:tr>
      </w:tbl>
      <w:p w:rsidR="00461C7A" w:rsidRDefault="00461C7A">
        <w:pPr>
          <w:pStyle w:val="a8"/>
          <w:jc w:val="center"/>
        </w:pPr>
      </w:p>
    </w:sdtContent>
  </w:sdt>
  <w:p w:rsidR="00461C7A" w:rsidRPr="00A235BF" w:rsidRDefault="00461C7A">
    <w:pPr>
      <w:pStyle w:val="a8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72"/>
    <w:rsid w:val="000771BC"/>
    <w:rsid w:val="001B0F9F"/>
    <w:rsid w:val="00223216"/>
    <w:rsid w:val="00461C7A"/>
    <w:rsid w:val="00534772"/>
    <w:rsid w:val="00614344"/>
    <w:rsid w:val="00A235BF"/>
    <w:rsid w:val="00C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77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3477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2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7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34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34772"/>
    <w:rPr>
      <w:color w:val="0000FF" w:themeColor="hyperlink"/>
      <w:u w:val="single"/>
    </w:rPr>
  </w:style>
  <w:style w:type="paragraph" w:customStyle="1" w:styleId="ConsPlusCell">
    <w:name w:val="ConsPlusCell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772"/>
  </w:style>
  <w:style w:type="paragraph" w:styleId="aa">
    <w:name w:val="footer"/>
    <w:basedOn w:val="a"/>
    <w:link w:val="ab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772"/>
  </w:style>
  <w:style w:type="character" w:customStyle="1" w:styleId="ConsPlusNormal0">
    <w:name w:val="ConsPlusNormal Знак"/>
    <w:link w:val="ConsPlusNormal"/>
    <w:locked/>
    <w:rsid w:val="00534772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5347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34772"/>
  </w:style>
  <w:style w:type="table" w:customStyle="1" w:styleId="TableNormal">
    <w:name w:val="Table Normal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534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53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4772"/>
  </w:style>
  <w:style w:type="paragraph" w:styleId="ae">
    <w:name w:val="Body Text Indent"/>
    <w:basedOn w:val="a"/>
    <w:link w:val="af"/>
    <w:semiHidden/>
    <w:rsid w:val="00534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347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4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34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5347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5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4772"/>
  </w:style>
  <w:style w:type="table" w:customStyle="1" w:styleId="22">
    <w:name w:val="Сетка таблицы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534772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34772"/>
  </w:style>
  <w:style w:type="table" w:customStyle="1" w:styleId="30">
    <w:name w:val="Сетка таблицы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34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534772"/>
    <w:rPr>
      <w:vertAlign w:val="superscript"/>
    </w:rPr>
  </w:style>
  <w:style w:type="paragraph" w:customStyle="1" w:styleId="xl65">
    <w:name w:val="xl65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477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47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34772"/>
  </w:style>
  <w:style w:type="table" w:customStyle="1" w:styleId="5">
    <w:name w:val="Сетка таблицы5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34772"/>
  </w:style>
  <w:style w:type="table" w:customStyle="1" w:styleId="122">
    <w:name w:val="Сетка таблицы1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34772"/>
  </w:style>
  <w:style w:type="numbering" w:customStyle="1" w:styleId="31">
    <w:name w:val="Нет списка31"/>
    <w:next w:val="a2"/>
    <w:uiPriority w:val="99"/>
    <w:semiHidden/>
    <w:unhideWhenUsed/>
    <w:rsid w:val="00534772"/>
  </w:style>
  <w:style w:type="numbering" w:customStyle="1" w:styleId="50">
    <w:name w:val="Нет списка5"/>
    <w:next w:val="a2"/>
    <w:uiPriority w:val="99"/>
    <w:semiHidden/>
    <w:unhideWhenUsed/>
    <w:rsid w:val="00534772"/>
  </w:style>
  <w:style w:type="table" w:customStyle="1" w:styleId="6">
    <w:name w:val="Сетка таблицы6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34772"/>
  </w:style>
  <w:style w:type="table" w:customStyle="1" w:styleId="131">
    <w:name w:val="Сетка таблицы1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34772"/>
  </w:style>
  <w:style w:type="numbering" w:customStyle="1" w:styleId="32">
    <w:name w:val="Нет списка32"/>
    <w:next w:val="a2"/>
    <w:uiPriority w:val="99"/>
    <w:semiHidden/>
    <w:unhideWhenUsed/>
    <w:rsid w:val="00534772"/>
  </w:style>
  <w:style w:type="numbering" w:customStyle="1" w:styleId="60">
    <w:name w:val="Нет списка6"/>
    <w:next w:val="a2"/>
    <w:uiPriority w:val="99"/>
    <w:semiHidden/>
    <w:unhideWhenUsed/>
    <w:rsid w:val="00534772"/>
  </w:style>
  <w:style w:type="table" w:customStyle="1" w:styleId="7">
    <w:name w:val="Сетка таблицы7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534772"/>
  </w:style>
  <w:style w:type="table" w:customStyle="1" w:styleId="140">
    <w:name w:val="Сетка таблицы14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534772"/>
  </w:style>
  <w:style w:type="numbering" w:customStyle="1" w:styleId="33">
    <w:name w:val="Нет списка33"/>
    <w:next w:val="a2"/>
    <w:uiPriority w:val="99"/>
    <w:semiHidden/>
    <w:unhideWhenUsed/>
    <w:rsid w:val="0053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77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3477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2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7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34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34772"/>
    <w:rPr>
      <w:color w:val="0000FF" w:themeColor="hyperlink"/>
      <w:u w:val="single"/>
    </w:rPr>
  </w:style>
  <w:style w:type="paragraph" w:customStyle="1" w:styleId="ConsPlusCell">
    <w:name w:val="ConsPlusCell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772"/>
  </w:style>
  <w:style w:type="paragraph" w:styleId="aa">
    <w:name w:val="footer"/>
    <w:basedOn w:val="a"/>
    <w:link w:val="ab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772"/>
  </w:style>
  <w:style w:type="character" w:customStyle="1" w:styleId="ConsPlusNormal0">
    <w:name w:val="ConsPlusNormal Знак"/>
    <w:link w:val="ConsPlusNormal"/>
    <w:locked/>
    <w:rsid w:val="00534772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5347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34772"/>
  </w:style>
  <w:style w:type="table" w:customStyle="1" w:styleId="TableNormal">
    <w:name w:val="Table Normal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534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53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4772"/>
  </w:style>
  <w:style w:type="paragraph" w:styleId="ae">
    <w:name w:val="Body Text Indent"/>
    <w:basedOn w:val="a"/>
    <w:link w:val="af"/>
    <w:semiHidden/>
    <w:rsid w:val="00534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347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4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34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5347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5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4772"/>
  </w:style>
  <w:style w:type="table" w:customStyle="1" w:styleId="22">
    <w:name w:val="Сетка таблицы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534772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34772"/>
  </w:style>
  <w:style w:type="table" w:customStyle="1" w:styleId="30">
    <w:name w:val="Сетка таблицы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34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534772"/>
    <w:rPr>
      <w:vertAlign w:val="superscript"/>
    </w:rPr>
  </w:style>
  <w:style w:type="paragraph" w:customStyle="1" w:styleId="xl65">
    <w:name w:val="xl65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477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47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34772"/>
  </w:style>
  <w:style w:type="table" w:customStyle="1" w:styleId="5">
    <w:name w:val="Сетка таблицы5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34772"/>
  </w:style>
  <w:style w:type="table" w:customStyle="1" w:styleId="122">
    <w:name w:val="Сетка таблицы1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34772"/>
  </w:style>
  <w:style w:type="numbering" w:customStyle="1" w:styleId="31">
    <w:name w:val="Нет списка31"/>
    <w:next w:val="a2"/>
    <w:uiPriority w:val="99"/>
    <w:semiHidden/>
    <w:unhideWhenUsed/>
    <w:rsid w:val="00534772"/>
  </w:style>
  <w:style w:type="numbering" w:customStyle="1" w:styleId="50">
    <w:name w:val="Нет списка5"/>
    <w:next w:val="a2"/>
    <w:uiPriority w:val="99"/>
    <w:semiHidden/>
    <w:unhideWhenUsed/>
    <w:rsid w:val="00534772"/>
  </w:style>
  <w:style w:type="table" w:customStyle="1" w:styleId="6">
    <w:name w:val="Сетка таблицы6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34772"/>
  </w:style>
  <w:style w:type="table" w:customStyle="1" w:styleId="131">
    <w:name w:val="Сетка таблицы1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34772"/>
  </w:style>
  <w:style w:type="numbering" w:customStyle="1" w:styleId="32">
    <w:name w:val="Нет списка32"/>
    <w:next w:val="a2"/>
    <w:uiPriority w:val="99"/>
    <w:semiHidden/>
    <w:unhideWhenUsed/>
    <w:rsid w:val="00534772"/>
  </w:style>
  <w:style w:type="numbering" w:customStyle="1" w:styleId="60">
    <w:name w:val="Нет списка6"/>
    <w:next w:val="a2"/>
    <w:uiPriority w:val="99"/>
    <w:semiHidden/>
    <w:unhideWhenUsed/>
    <w:rsid w:val="00534772"/>
  </w:style>
  <w:style w:type="table" w:customStyle="1" w:styleId="7">
    <w:name w:val="Сетка таблицы7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534772"/>
  </w:style>
  <w:style w:type="table" w:customStyle="1" w:styleId="140">
    <w:name w:val="Сетка таблицы14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534772"/>
  </w:style>
  <w:style w:type="numbering" w:customStyle="1" w:styleId="33">
    <w:name w:val="Нет списка33"/>
    <w:next w:val="a2"/>
    <w:uiPriority w:val="99"/>
    <w:semiHidden/>
    <w:unhideWhenUsed/>
    <w:rsid w:val="0053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340DDDA00432D7E8805B1C5FCD3CA43B2E239A39AC19A28856BE0F3D1F5C66163274A3AC6B8D7766FFB62M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Аверкиева</dc:creator>
  <cp:lastModifiedBy>Ольга Борисовна Александрова</cp:lastModifiedBy>
  <cp:revision>5</cp:revision>
  <dcterms:created xsi:type="dcterms:W3CDTF">2025-01-27T08:12:00Z</dcterms:created>
  <dcterms:modified xsi:type="dcterms:W3CDTF">2025-01-27T11:13:00Z</dcterms:modified>
</cp:coreProperties>
</file>